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1"/>
        </w:numPr>
        <w:spacing w:before="200" w:after="120"/>
        <w:ind w:left="0" w:right="0" w:hanging="0"/>
        <w:rPr/>
      </w:pPr>
      <w:r>
        <w:rPr/>
        <w:t>Bevezető feladatok</w:t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hd w:fill="FFFFFF" w:val="clear"/>
        <w:spacing w:before="0" w:after="0"/>
        <w:ind w:left="720" w:right="0" w:hanging="360"/>
        <w:contextualSpacing/>
        <w:rPr>
          <w:sz w:val="28"/>
          <w:szCs w:val="28"/>
        </w:rPr>
      </w:pPr>
      <w:r>
        <w:rPr>
          <w:sz w:val="28"/>
          <w:szCs w:val="28"/>
        </w:rPr>
        <w:t>Tömegjelenségek ábrázolása pont diagrammon, grafikonon  Előkészítő feladat</w:t>
      </w:r>
    </w:p>
    <w:p>
      <w:pPr>
        <w:pStyle w:val="Normal"/>
        <w:pBdr/>
        <w:shd w:fill="FFFFFF" w:val="clear"/>
        <w:spacing w:before="0" w:after="0"/>
        <w:rPr>
          <w:sz w:val="28"/>
          <w:szCs w:val="28"/>
        </w:rPr>
      </w:pPr>
      <w:r>
        <w:rPr>
          <w:sz w:val="28"/>
          <w:szCs w:val="28"/>
        </w:rPr>
        <w:t>A kérdésekre adott válaszokat külön lapon kérem a gyakorlatra hozni, azt fogom elf. - nem-elf. értékelni a gyakorlaton. A feladatlapot a gyakorlaton megbeszélt válaszokkal együtt a saját google dokumentumba is be kell másolni.</w:t>
      </w:r>
    </w:p>
    <w:p>
      <w:pPr>
        <w:pStyle w:val="Normal"/>
        <w:pBdr/>
        <w:shd w:fill="FFFFFF" w:val="clea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pBdr/>
        <w:shd w:fill="FFFFFF" w:val="clear"/>
        <w:spacing w:before="0" w:after="0"/>
        <w:ind w:left="720" w:right="0" w:hanging="360"/>
        <w:contextualSpacing/>
        <w:rPr>
          <w:sz w:val="24"/>
          <w:szCs w:val="24"/>
        </w:rPr>
      </w:pPr>
      <w:r>
        <w:rPr>
          <w:sz w:val="24"/>
          <w:szCs w:val="24"/>
        </w:rPr>
        <w:t>feladat</w:t>
      </w:r>
    </w:p>
    <w:p>
      <w:pPr>
        <w:pStyle w:val="Normal"/>
        <w:pBdr/>
        <w:shd w:fill="FFFFFF" w:val="clear"/>
        <w:spacing w:before="0" w:after="0"/>
        <w:jc w:val="both"/>
        <w:rPr/>
      </w:pPr>
      <w:r>
        <w:rPr/>
        <w:drawing>
          <wp:inline distT="0" distB="0" distL="0" distR="0">
            <wp:extent cx="5767705" cy="2947035"/>
            <wp:effectExtent l="0" t="0" r="0" b="0"/>
            <wp:docPr id="1" name="image4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8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pBdr/>
        <w:shd w:fill="FFFFFF" w:val="clear"/>
        <w:spacing w:before="0" w:after="0"/>
        <w:jc w:val="both"/>
        <w:rPr/>
      </w:pPr>
      <w:hyperlink r:id="rId3">
        <w:r>
          <w:rPr>
            <w:rStyle w:val="InternetLink"/>
            <w:color w:val="1155CC"/>
            <w:sz w:val="24"/>
            <w:szCs w:val="24"/>
            <w:u w:val="single"/>
          </w:rPr>
          <w:t>Egybibés galagonya</w:t>
        </w:r>
      </w:hyperlink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Crataegus monogyna</w:t>
      </w:r>
      <w:r>
        <w:rPr>
          <w:sz w:val="24"/>
          <w:szCs w:val="24"/>
        </w:rPr>
        <w:t>) bokrok számának növekedése tengerparti dűnéken két transzekt mentén, egy mixomatózis járvány után, amely a korábban több ezres nyúlállomány létszámát húsz példányra csökkentette (after Hodgkin 1984).</w:t>
      </w:r>
    </w:p>
    <w:p>
      <w:pPr>
        <w:pStyle w:val="Normal"/>
        <w:pBdr/>
        <w:shd w:fill="FFFFFF" w:val="clear"/>
        <w:spacing w:before="0" w:after="0"/>
        <w:ind w:left="0" w:right="0" w:hanging="360"/>
        <w:jc w:val="both"/>
        <w:rPr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  <w:tab/>
      </w:r>
      <w:r>
        <w:rPr>
          <w:sz w:val="24"/>
          <w:szCs w:val="24"/>
        </w:rPr>
        <w:t>Mit reprezentálnak a grafikonon a pontok?</w:t>
      </w:r>
    </w:p>
    <w:p>
      <w:pPr>
        <w:pStyle w:val="Normal"/>
        <w:pBdr/>
        <w:shd w:fill="FFFFFF" w:val="clear"/>
        <w:spacing w:before="0" w:after="0"/>
        <w:ind w:left="0" w:right="0" w:hanging="360"/>
        <w:jc w:val="both"/>
        <w:rPr/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 </w:t>
        <w:tab/>
      </w:r>
      <w:r>
        <w:rPr>
          <w:sz w:val="24"/>
          <w:szCs w:val="24"/>
        </w:rPr>
        <w:t>Melyik évben tört ki a járvány?</w:t>
      </w:r>
    </w:p>
    <w:p>
      <w:pPr>
        <w:pStyle w:val="Normal"/>
        <w:pBdr/>
        <w:shd w:fill="FFFFFF" w:val="clear"/>
        <w:spacing w:before="0" w:after="0"/>
        <w:ind w:left="0" w:right="0" w:hanging="360"/>
        <w:jc w:val="both"/>
        <w:rPr/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 </w:t>
        <w:tab/>
      </w:r>
      <w:r>
        <w:rPr>
          <w:sz w:val="24"/>
          <w:szCs w:val="24"/>
        </w:rPr>
        <w:t>Ha nem változtak a körülmények, kb. hány galagonya bokor volt található 2000-ben a két transzekt mentén?</w:t>
      </w:r>
    </w:p>
    <w:p>
      <w:pPr>
        <w:pStyle w:val="Normal"/>
        <w:pBdr/>
        <w:shd w:fill="FFFFFF" w:val="clear"/>
        <w:spacing w:before="0" w:after="0"/>
        <w:ind w:left="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ind w:left="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ind w:left="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pBdr/>
        <w:shd w:fill="FFFFFF" w:val="clear"/>
        <w:spacing w:before="0" w:after="0"/>
        <w:ind w:left="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2. feladat</w:t>
      </w:r>
    </w:p>
    <w:p>
      <w:pPr>
        <w:pStyle w:val="Normal"/>
        <w:pBdr/>
        <w:shd w:fill="FFFFFF" w:val="clear"/>
        <w:spacing w:before="0" w:after="0"/>
        <w:ind w:left="0" w:right="0" w:hanging="360"/>
        <w:jc w:val="both"/>
        <w:rPr/>
      </w:pPr>
      <w:r>
        <w:rPr/>
        <w:drawing>
          <wp:inline distT="0" distB="0" distL="0" distR="0">
            <wp:extent cx="5986145" cy="5184775"/>
            <wp:effectExtent l="0" t="0" r="0" b="0"/>
            <wp:docPr id="2" name="image4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6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18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pBdr/>
        <w:shd w:fill="FFFFFF" w:val="clea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  <w:t>1198 darab populáció idősorok alapján kalkulált hosszútávú növekedési rátája a megfigyelt generációk számának függvényében (after Brook and Bradshaw 2006).</w:t>
      </w:r>
    </w:p>
    <w:p>
      <w:pPr>
        <w:pStyle w:val="Normal"/>
        <w:pBdr/>
        <w:shd w:fill="FFFFFF" w:val="clear"/>
        <w:spacing w:before="0" w:after="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növekedési ráta: r=ln(N</w:t>
      </w:r>
      <w:r>
        <w:rPr>
          <w:sz w:val="24"/>
          <w:szCs w:val="24"/>
          <w:vertAlign w:val="subscript"/>
        </w:rPr>
        <w:t>t+1</w:t>
      </w:r>
      <w:r>
        <w:rPr>
          <w:sz w:val="24"/>
          <w:szCs w:val="24"/>
        </w:rPr>
        <w:t>/N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>,) ahol N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a populáció létszáma a t. generációban. </w:t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pBdr/>
        <w:shd w:fill="FFFFFF" w:val="clear"/>
        <w:spacing w:before="0" w:after="0"/>
        <w:ind w:left="360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</w:t>
        <w:tab/>
      </w:r>
      <w:r>
        <w:rPr>
          <w:sz w:val="24"/>
          <w:szCs w:val="24"/>
        </w:rPr>
        <w:t>Mit ábrázolnak a pontok? Hogyan kell kiszámolni a mért adatokból?</w:t>
      </w:r>
    </w:p>
    <w:p>
      <w:pPr>
        <w:pStyle w:val="Normal"/>
        <w:pBdr/>
        <w:shd w:fill="FFFFFF" w:val="clear"/>
        <w:spacing w:before="0" w:after="0"/>
        <w:ind w:left="360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</w:t>
        <w:tab/>
      </w:r>
      <w:r>
        <w:rPr>
          <w:sz w:val="24"/>
          <w:szCs w:val="24"/>
        </w:rPr>
        <w:t>Hosszútávon mekkora a populációk várható növekedése?</w:t>
      </w:r>
    </w:p>
    <w:p>
      <w:pPr>
        <w:pStyle w:val="Normal"/>
        <w:pBdr/>
        <w:shd w:fill="FFFFFF" w:val="clear"/>
        <w:spacing w:before="0" w:after="0"/>
        <w:ind w:left="360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</w:t>
        <w:tab/>
      </w:r>
      <w:r>
        <w:rPr>
          <w:sz w:val="24"/>
          <w:szCs w:val="24"/>
        </w:rPr>
        <w:t>Hogyan változik a megfigyelés hosszával az átlagos növekedési ráták szórása?</w:t>
      </w:r>
    </w:p>
    <w:p>
      <w:pPr>
        <w:pStyle w:val="Normal"/>
        <w:pBdr/>
        <w:shd w:fill="FFFFFF" w:val="clear"/>
        <w:spacing w:before="0" w:after="0"/>
        <w:ind w:left="360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</w:t>
        <w:tab/>
      </w:r>
      <w:r>
        <w:rPr>
          <w:sz w:val="24"/>
          <w:szCs w:val="24"/>
        </w:rPr>
        <w:t>Milyen ökológiai alapelv illusztrálására szolgálhat az ábra?</w:t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  <w:t>3. Feladat</w:t>
      </w:r>
    </w:p>
    <w:p>
      <w:pPr>
        <w:pStyle w:val="Normal"/>
        <w:pBdr/>
        <w:shd w:fill="FFFFFF" w:val="clear"/>
        <w:spacing w:before="0" w:after="0"/>
        <w:rPr/>
      </w:pPr>
      <w:r>
        <w:rPr/>
        <w:drawing>
          <wp:inline distT="0" distB="0" distL="0" distR="0">
            <wp:extent cx="5471795" cy="3783965"/>
            <wp:effectExtent l="0" t="0" r="0" b="0"/>
            <wp:docPr id="3" name="image6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9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37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pBdr/>
        <w:shd w:fill="FFFFFF" w:val="clear"/>
        <w:spacing w:before="0" w:after="0"/>
        <w:rPr/>
      </w:pPr>
      <w:r>
        <w:rPr>
          <w:sz w:val="24"/>
          <w:szCs w:val="24"/>
        </w:rPr>
        <w:t>Kúpos fóka kölykök (</w:t>
      </w:r>
      <w:hyperlink r:id="rId6">
        <w:r>
          <w:rPr>
            <w:rStyle w:val="InternetLink"/>
            <w:i/>
            <w:color w:val="1155CC"/>
            <w:sz w:val="24"/>
            <w:szCs w:val="24"/>
            <w:u w:val="single"/>
          </w:rPr>
          <w:t>Halichoerus grypus</w:t>
        </w:r>
      </w:hyperlink>
      <w:r>
        <w:rPr>
          <w:sz w:val="24"/>
          <w:szCs w:val="24"/>
        </w:rPr>
        <w:t>) számának növekedése Sable szigetén 1962 – 1997 között. A populáció méret becslésének módszere kétszer változott a vizsgált időszakban. A növekedési görbét a középső szakasz adatai (1976-1990) alapján becsülték (Bowen et al. 2003).</w:t>
      </w:r>
    </w:p>
    <w:p>
      <w:pPr>
        <w:pStyle w:val="Normal"/>
        <w:pBdr/>
        <w:shd w:fill="FFFFFF" w:val="clear"/>
        <w:spacing w:before="0" w:after="0"/>
        <w:ind w:left="360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</w:t>
        <w:tab/>
      </w:r>
      <w:r>
        <w:rPr>
          <w:sz w:val="24"/>
          <w:szCs w:val="24"/>
        </w:rPr>
        <w:t>Mit jelenthet, hogy egyes pontokon van bajusz, másokon nincs?</w:t>
      </w:r>
    </w:p>
    <w:p>
      <w:pPr>
        <w:pStyle w:val="Normal"/>
        <w:pBdr/>
        <w:shd w:fill="FFFFFF" w:val="clear"/>
        <w:spacing w:before="0" w:after="0"/>
        <w:ind w:left="360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</w:t>
        <w:tab/>
      </w:r>
      <w:r>
        <w:rPr>
          <w:sz w:val="24"/>
          <w:szCs w:val="24"/>
        </w:rPr>
        <w:t>Miben különböznek a különböző jelekkel ábrázolt létszám adatok?</w:t>
      </w:r>
    </w:p>
    <w:p>
      <w:pPr>
        <w:pStyle w:val="Normal"/>
        <w:pBdr/>
        <w:shd w:fill="FFFFFF" w:val="clear"/>
        <w:spacing w:before="0" w:after="0"/>
        <w:ind w:left="360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</w:t>
        <w:tab/>
      </w:r>
      <w:r>
        <w:rPr>
          <w:sz w:val="24"/>
          <w:szCs w:val="24"/>
        </w:rPr>
        <w:t>Írjad fel általános jelekkel (N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>, r) a növekedés egyenletét!</w:t>
      </w:r>
    </w:p>
    <w:p>
      <w:pPr>
        <w:pStyle w:val="Normal"/>
        <w:pBdr/>
        <w:shd w:fill="FFFFFF" w:val="clear"/>
        <w:spacing w:before="0" w:after="0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pBdr/>
        <w:shd w:fill="FFFFFF" w:val="clear"/>
        <w:spacing w:before="0" w:after="0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4. feladat</w:t>
      </w:r>
    </w:p>
    <w:p>
      <w:pPr>
        <w:pStyle w:val="Normal"/>
        <w:pBdr/>
        <w:shd w:fill="FFFFFF" w:val="clear"/>
        <w:spacing w:before="0" w:after="0"/>
        <w:ind w:left="-30" w:right="0" w:hanging="360"/>
        <w:rPr/>
      </w:pPr>
      <w:r>
        <w:rPr/>
        <w:drawing>
          <wp:inline distT="0" distB="0" distL="0" distR="0">
            <wp:extent cx="4471670" cy="4387215"/>
            <wp:effectExtent l="0" t="0" r="0" b="0"/>
            <wp:docPr id="4" name="image6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5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438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pBdr/>
        <w:shd w:fill="FFFFFF" w:val="clear"/>
        <w:spacing w:before="0" w:after="0"/>
        <w:ind w:left="-30" w:right="0" w:hanging="360"/>
        <w:rPr/>
      </w:pPr>
      <w:r>
        <w:rPr>
          <w:sz w:val="24"/>
          <w:szCs w:val="24"/>
        </w:rPr>
        <w:t xml:space="preserve">Négy, 270 egyeddel indított, biológiai szabályozásra használt </w:t>
      </w:r>
      <w:r>
        <w:rPr>
          <w:i/>
          <w:sz w:val="24"/>
          <w:szCs w:val="24"/>
        </w:rPr>
        <w:t>Arytainilla spartiophila</w:t>
      </w:r>
      <w:hyperlink r:id="rId8">
        <w:r>
          <w:rPr>
            <w:rStyle w:val="InternetLink"/>
            <w:sz w:val="24"/>
            <w:szCs w:val="24"/>
          </w:rPr>
          <w:t xml:space="preserve"> </w:t>
        </w:r>
      </w:hyperlink>
      <w:hyperlink r:id="rId9">
        <w:r>
          <w:rPr>
            <w:rStyle w:val="InternetLink"/>
            <w:color w:val="1155CC"/>
            <w:sz w:val="24"/>
            <w:szCs w:val="24"/>
            <w:u w:val="single"/>
          </w:rPr>
          <w:t>levélbolha</w:t>
        </w:r>
      </w:hyperlink>
      <w:r>
        <w:rPr>
          <w:sz w:val="24"/>
          <w:szCs w:val="24"/>
        </w:rPr>
        <w:t xml:space="preserve"> populációk növekedése</w:t>
      </w:r>
      <w:hyperlink r:id="rId10">
        <w:r>
          <w:rPr>
            <w:rStyle w:val="InternetLink"/>
            <w:sz w:val="24"/>
            <w:szCs w:val="24"/>
          </w:rPr>
          <w:t xml:space="preserve"> </w:t>
        </w:r>
      </w:hyperlink>
      <w:hyperlink r:id="rId11">
        <w:r>
          <w:rPr>
            <w:rStyle w:val="InternetLink"/>
            <w:color w:val="1155CC"/>
            <w:sz w:val="24"/>
            <w:szCs w:val="24"/>
            <w:u w:val="single"/>
          </w:rPr>
          <w:t>seprűzanót</w:t>
        </w:r>
      </w:hyperlink>
      <w:r>
        <w:rPr>
          <w:sz w:val="24"/>
          <w:szCs w:val="24"/>
        </w:rPr>
        <w:t xml:space="preserve"> állományokban. 22 növekedési görbéből számolva, a populációk növekedési rátája 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 xml:space="preserve">=0.432/év. Az egyes populációk növekedési sebessége között nincs különbség (Memmott et al. 2005).  </w:t>
      </w:r>
    </w:p>
    <w:p>
      <w:pPr>
        <w:pStyle w:val="Normal"/>
        <w:pBdr/>
        <w:shd w:fill="FFFFFF" w:val="clear"/>
        <w:spacing w:before="0" w:after="0"/>
        <w:ind w:left="-30" w:right="0"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ind w:left="0" w:right="0" w:hanging="360"/>
        <w:rPr/>
      </w:pPr>
      <w:r>
        <w:rPr>
          <w:sz w:val="23"/>
          <w:szCs w:val="23"/>
        </w:rPr>
        <w:t>1.</w:t>
      </w:r>
      <w:r>
        <w:rPr>
          <w:sz w:val="14"/>
          <w:szCs w:val="14"/>
        </w:rPr>
        <w:t xml:space="preserve">   </w:t>
        <w:tab/>
      </w:r>
      <w:r>
        <w:rPr>
          <w:sz w:val="24"/>
          <w:szCs w:val="24"/>
        </w:rPr>
        <w:t>Miért vannak az ábrán egyes pontok összekötve?</w:t>
      </w:r>
    </w:p>
    <w:p>
      <w:pPr>
        <w:pStyle w:val="Normal"/>
        <w:pBdr/>
        <w:shd w:fill="FFFFFF" w:val="clear"/>
        <w:spacing w:before="0" w:after="0"/>
        <w:ind w:left="0" w:right="0" w:hanging="360"/>
        <w:rPr/>
      </w:pPr>
      <w:r>
        <w:rPr>
          <w:sz w:val="23"/>
          <w:szCs w:val="23"/>
        </w:rPr>
        <w:t>2.</w:t>
      </w:r>
      <w:r>
        <w:rPr>
          <w:sz w:val="14"/>
          <w:szCs w:val="14"/>
        </w:rPr>
        <w:t xml:space="preserve">   </w:t>
        <w:tab/>
      </w:r>
      <w:r>
        <w:rPr>
          <w:sz w:val="24"/>
          <w:szCs w:val="24"/>
        </w:rPr>
        <w:t>Milyen az y tengely skálázása?</w:t>
      </w:r>
    </w:p>
    <w:p>
      <w:pPr>
        <w:pStyle w:val="Normal"/>
        <w:pBdr/>
        <w:shd w:fill="FFFFFF" w:val="clear"/>
        <w:spacing w:before="0" w:after="0"/>
        <w:ind w:left="0" w:right="0" w:hanging="360"/>
        <w:rPr/>
      </w:pPr>
      <w:r>
        <w:rPr>
          <w:sz w:val="23"/>
          <w:szCs w:val="23"/>
        </w:rPr>
        <w:t>3.</w:t>
      </w:r>
      <w:r>
        <w:rPr>
          <w:sz w:val="14"/>
          <w:szCs w:val="14"/>
        </w:rPr>
        <w:t xml:space="preserve">   </w:t>
        <w:tab/>
      </w:r>
      <w:r>
        <w:rPr>
          <w:sz w:val="24"/>
          <w:szCs w:val="24"/>
        </w:rPr>
        <w:t xml:space="preserve">Milyen jellegű a populációk növekedése? </w:t>
      </w:r>
    </w:p>
    <w:p>
      <w:pPr>
        <w:pStyle w:val="Normal"/>
        <w:pBdr/>
        <w:shd w:fill="FFFFFF" w:val="clear"/>
        <w:spacing w:before="0" w:after="0"/>
        <w:ind w:left="0" w:right="0" w:hanging="360"/>
        <w:rPr/>
      </w:pPr>
      <w:r>
        <w:rPr>
          <w:sz w:val="23"/>
          <w:szCs w:val="23"/>
        </w:rPr>
        <w:t>4.</w:t>
      </w:r>
      <w:r>
        <w:rPr>
          <w:sz w:val="14"/>
          <w:szCs w:val="14"/>
        </w:rPr>
        <w:t xml:space="preserve">   </w:t>
        <w:tab/>
      </w:r>
      <w:r>
        <w:rPr>
          <w:sz w:val="24"/>
          <w:szCs w:val="24"/>
        </w:rPr>
        <w:t>Mi a növekedési egyenletük?</w:t>
      </w:r>
    </w:p>
    <w:p>
      <w:pPr>
        <w:pStyle w:val="Normal"/>
        <w:pBdr/>
        <w:shd w:fill="FFFFFF" w:val="clear"/>
        <w:spacing w:before="0" w:after="0"/>
        <w:ind w:left="0" w:right="0"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fill="FFFFFF" w:val="clear"/>
        <w:spacing w:before="0" w:after="0"/>
        <w:ind w:left="0" w:right="0" w:hanging="360"/>
        <w:rPr>
          <w:sz w:val="24"/>
          <w:szCs w:val="24"/>
        </w:rPr>
      </w:pPr>
      <w:r>
        <w:rPr>
          <w:sz w:val="24"/>
          <w:szCs w:val="24"/>
        </w:rPr>
        <w:t>Irodalom</w:t>
      </w:r>
    </w:p>
    <w:p>
      <w:pPr>
        <w:pStyle w:val="Normal"/>
        <w:pBdr/>
        <w:shd w:fill="FFFFFF" w:val="clear"/>
        <w:spacing w:before="0" w:after="0"/>
        <w:ind w:left="720" w:right="0" w:hanging="0"/>
        <w:rPr/>
      </w:pPr>
      <w:r>
        <w:rPr>
          <w:sz w:val="20"/>
          <w:szCs w:val="20"/>
        </w:rPr>
        <w:t>Bowen, W.D., McMillan, J. and Mohn, R. (2003). Sustained exponential population growth of grey seals at Sable Island, nova Scotia.</w:t>
      </w:r>
      <w:r>
        <w:rPr>
          <w:i/>
          <w:sz w:val="20"/>
          <w:szCs w:val="20"/>
        </w:rPr>
        <w:t xml:space="preserve"> Ices Journal of Marine Science,</w:t>
      </w:r>
      <w:r>
        <w:rPr>
          <w:sz w:val="20"/>
          <w:szCs w:val="20"/>
        </w:rPr>
        <w:t xml:space="preserve"> 60(6): 1265-1274.</w:t>
      </w:r>
    </w:p>
    <w:p>
      <w:pPr>
        <w:pStyle w:val="Normal"/>
        <w:pBdr/>
        <w:shd w:fill="FFFFFF" w:val="clear"/>
        <w:spacing w:before="0" w:after="0"/>
        <w:ind w:left="720" w:right="0" w:hanging="0"/>
        <w:rPr/>
      </w:pPr>
      <w:r>
        <w:rPr>
          <w:sz w:val="20"/>
          <w:szCs w:val="20"/>
        </w:rPr>
        <w:t>Brook, B.W. and Bradshaw, C.J.A. (2006). Strength of evidence for density dependence in abundance time series of 1198 species.</w:t>
      </w:r>
      <w:r>
        <w:rPr>
          <w:i/>
          <w:sz w:val="20"/>
          <w:szCs w:val="20"/>
        </w:rPr>
        <w:t xml:space="preserve"> Ecology,</w:t>
      </w:r>
      <w:r>
        <w:rPr>
          <w:sz w:val="20"/>
          <w:szCs w:val="20"/>
        </w:rPr>
        <w:t xml:space="preserve"> 87(6): 1445-1451.</w:t>
      </w:r>
    </w:p>
    <w:p>
      <w:pPr>
        <w:pStyle w:val="Normal"/>
        <w:pBdr/>
        <w:shd w:fill="FFFFFF" w:val="clear"/>
        <w:spacing w:before="0" w:after="0"/>
        <w:ind w:left="720" w:right="0" w:hanging="0"/>
        <w:rPr/>
      </w:pPr>
      <w:r>
        <w:rPr>
          <w:sz w:val="20"/>
          <w:szCs w:val="20"/>
        </w:rPr>
        <w:t>Hodgkin, S.E. (1984). Scrub encroachment and its effects on soil fertility on Newborough Warren, Anglesey, Wales.</w:t>
      </w:r>
      <w:r>
        <w:rPr>
          <w:i/>
          <w:sz w:val="20"/>
          <w:szCs w:val="20"/>
        </w:rPr>
        <w:t xml:space="preserve"> Biological Conservation,</w:t>
      </w:r>
      <w:r>
        <w:rPr>
          <w:sz w:val="20"/>
          <w:szCs w:val="20"/>
        </w:rPr>
        <w:t xml:space="preserve"> 29(2): 99-119.</w:t>
      </w:r>
    </w:p>
    <w:p>
      <w:pPr>
        <w:pStyle w:val="Normal"/>
        <w:pBdr/>
        <w:shd w:fill="FFFFFF" w:val="clear"/>
        <w:spacing w:before="0" w:after="0"/>
        <w:ind w:left="720" w:right="0" w:hanging="0"/>
        <w:rPr>
          <w:sz w:val="28"/>
          <w:szCs w:val="28"/>
        </w:rPr>
      </w:pPr>
      <w:r>
        <w:rPr>
          <w:sz w:val="20"/>
          <w:szCs w:val="20"/>
        </w:rPr>
        <w:t>Memmott, J., Craze, P.G., Harman, H.M., Syrett, P. and Fowler, S.V. (2005). The effect of propagule size on the invasion of an alien insect.</w:t>
      </w:r>
      <w:r>
        <w:rPr>
          <w:i/>
          <w:sz w:val="20"/>
          <w:szCs w:val="20"/>
        </w:rPr>
        <w:t xml:space="preserve"> Journal of Animal Ecology,</w:t>
      </w:r>
      <w:r>
        <w:rPr>
          <w:sz w:val="20"/>
          <w:szCs w:val="20"/>
        </w:rPr>
        <w:t xml:space="preserve"> 74(1): 50-62.</w:t>
      </w:r>
    </w:p>
    <w:sectPr>
      <w:type w:val="nextPage"/>
      <w:pgSz w:w="12240" w:h="15840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ind w:left="0" w:right="0" w:hanging="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ind w:left="0" w:right="0" w:hanging="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27">
    <w:name w:val="ListLabel 127"/>
    <w:qFormat/>
    <w:rPr>
      <w:b/>
      <w:sz w:val="24"/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u w:val="none"/>
    </w:rPr>
  </w:style>
  <w:style w:type="character" w:styleId="ListLabel133">
    <w:name w:val="ListLabel 133"/>
    <w:qFormat/>
    <w:rPr>
      <w:u w:val="none"/>
    </w:rPr>
  </w:style>
  <w:style w:type="character" w:styleId="ListLabel134">
    <w:name w:val="ListLabel 134"/>
    <w:qFormat/>
    <w:rPr>
      <w:u w:val="none"/>
    </w:rPr>
  </w:style>
  <w:style w:type="character" w:styleId="ListLabel135">
    <w:name w:val="ListLabel 135"/>
    <w:qFormat/>
    <w:rPr>
      <w:u w:val="none"/>
    </w:rPr>
  </w:style>
  <w:style w:type="character" w:styleId="ListLabel46">
    <w:name w:val="ListLabel 46"/>
    <w:qFormat/>
    <w:rPr>
      <w:sz w:val="24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154">
    <w:name w:val="ListLabel 154"/>
    <w:qFormat/>
    <w:rPr>
      <w:sz w:val="28"/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">
    <w:name w:val="ListLabel 1"/>
    <w:qFormat/>
    <w:rPr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hu.wikipedia.org/wiki/Egybib&#233;s_galagonya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https://www.google.hu/search?q=Halichoerus+grypus&amp;client=firefox-b&amp;source=lnms&amp;tbm=isch&amp;sa=X&amp;ved=0ahUKEwjPu9nL-4nPAhWBXSwKHSmrDvQQ_AUICCgB&amp;biw=1280&amp;bih=804" TargetMode="External"/><Relationship Id="rId7" Type="http://schemas.openxmlformats.org/officeDocument/2006/relationships/image" Target="media/image4.png"/><Relationship Id="rId8" Type="http://schemas.openxmlformats.org/officeDocument/2006/relationships/hyperlink" Target="https://en.wikipedia.org/wiki/Jumping_plant_louse" TargetMode="External"/><Relationship Id="rId9" Type="http://schemas.openxmlformats.org/officeDocument/2006/relationships/hyperlink" Target="https://en.wikipedia.org/wiki/Jumping_plant_louse" TargetMode="External"/><Relationship Id="rId10" Type="http://schemas.openxmlformats.org/officeDocument/2006/relationships/hyperlink" Target="https://hu.wikipedia.org/wiki/Sepr&#369;zan&#243;t" TargetMode="External"/><Relationship Id="rId11" Type="http://schemas.openxmlformats.org/officeDocument/2006/relationships/hyperlink" Target="https://hu.wikipedia.org/wiki/Sepr&#369;zan&#243;t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471</TotalTime>
  <Application>LibreOffice/4.4.6.3$Linux_X86_64 LibreOffice_project/40m0$Build-3</Application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2017-09-01T14:06:47Z</dcterms:created>
  <dc:language>en-US</dc:language>
  <dcterms:modified xsi:type="dcterms:W3CDTF">2017-09-06T12:09:16Z</dcterms:modified>
  <cp:revision>17</cp:revision>
</cp:coreProperties>
</file>